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CECEMEL</w:t>
      </w: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 - Warm Message in a bottle.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- Persbericht NL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60"/>
          <w:szCs w:val="6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highlight w:val="white"/>
          <w:rtl w:val="0"/>
        </w:rPr>
        <w:t xml:space="preserve">Cécémel en TBWA sturen alle Belgen een Warm Message in a Bottle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Na wekenlang binnen zitten begint de lockdown steeds zwaarder te wegen op ons gemoed. De verveling slaat toe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en het gemis naar familie, vrienden en collega’s wordt groter.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Hoog tijd dus om alle Belgen een hart onder de riem te steken.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En hoe kan je dat beter dan met een hartverwarmend bericht? Daarom bedacht TBWA voor Cécémel “A Warm message in a Bottle”: een social actie waarbij je kleine, lieve berichtjes in een Cécémel-flesje kan schrijven en delen met iedereen die je graag ziet en/of mist. Een leuke manier om al je familieleden, vrienden of collega’s te verrassen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en een hart onder de riem te steken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in deze uitzonderlijke tijden.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Ook een berichtje sturen? Dat kan via makkelijk via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https://cecemel.be/nl/messageinabottle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Brand: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CECEMEL - FrieslandCampina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Agency: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TBWA\Belgium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Client: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Daniëlle Delange, Jérôme Nelen, Marlies Wanneyn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Creative Director: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Jeroen Bostoen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Creative team: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Régine Smetz &amp; Marie-Laure Cliquennois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Copywriters: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Régine Smetz, 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arah Pierrequin, Gil Gauniaux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Art Directors: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Marie-Laure Cliquennois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Account team: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Valérie Demeure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Ester De Sadeleer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Strategy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: Héléna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Gheeraert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Digital Production: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J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uliette Defoux, Wannes Vermeulen, Ken Kools, Yannick Van Der Goten, Ruben Temmerman, Diederik  Van Remoortere, Jaimy Vanaken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white"/>
          <w:rtl w:val="0"/>
        </w:rPr>
        <w:t xml:space="preserve">CECEMEL - Warm Message in a bottle</w:t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white"/>
          <w:rtl w:val="0"/>
        </w:rPr>
        <w:t xml:space="preserve"> – Communiqué de presse FR</w:t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highlight w:val="white"/>
          <w:rtl w:val="0"/>
        </w:rPr>
        <w:t xml:space="preserve">Cécémel et TBWA envoient un “Warm Message in a Bottle” à tous les Belges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Après des semaines de confinement, cette situation commence à peser pour chacun de nous.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L'ennui frappe à notre porte et le manque de nos proches se fait de plus en plus présent.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. Il est donc grand temps de réconforter les Belges. Et quoi de mieux qu’un “Warm Message In A Bottle” pour y parvenir ?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Voilà l’idée que TBWA a imaginée pour Cécémel.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Le principe de cette action solidaire ? Proposer aux Belges d’écrire un message chaleureux dans une bouteille de Cécémel et d’ensuite le partager sur les réseaux avec ceux qu’ils aiment.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Une chouette façon de surprendre les membres de sa famille, ses amis ou encore ses collègues en ces temps un peu exceptionnels et de leur réchauffer un peu le coeur.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Vous souhaitez envoyer votre message ? Rendez-vous vite sur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https://cecemel.be/fr/messageinabottle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4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4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Credits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Brand: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CECEMEL - FrieslandCampina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Agency: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TBWA\Belgium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Client: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Daniëlle Delange, Jérôme Nelen, Marlies Wanneyn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Creative Director: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Jeroen Bostoen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Creative team: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Régine Smetz &amp; Marie-Laure Cliquennois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Copywriters: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Régine Smetz, Sarah Pierrequin, Gil Gauniaux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Art Directors: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Marie-Laure Cliquennois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Account team: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Valérie Demeure, Ester De Sadeleer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Strategy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: Héléna Gheeraert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Digital Production: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Juliette Defoux, Wannes Vermeulen, Ken Kools, Yannick Van Der Goten, Ruben Temmerman, Diederik  Van Remoortere, Jaimy Vanaken</w:t>
      </w:r>
    </w:p>
    <w:p w:rsidR="00000000" w:rsidDel="00000000" w:rsidP="00000000" w:rsidRDefault="00000000" w:rsidRPr="00000000" w14:paraId="0000003F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hd w:fill="ffffff" w:val="clear"/>
        <w:spacing w:after="24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ecemel.be/nl/messageinabottle" TargetMode="External"/><Relationship Id="rId7" Type="http://schemas.openxmlformats.org/officeDocument/2006/relationships/hyperlink" Target="https://cecemel.be/fr/messageinabo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